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sz w:val="30"/>
          <w:szCs w:val="30"/>
        </w:rPr>
      </w:pPr>
      <w:r>
        <w:rPr>
          <w:rFonts w:hint="eastAsia"/>
          <w:sz w:val="30"/>
          <w:szCs w:val="30"/>
        </w:rPr>
        <w:t>附件一：</w:t>
      </w:r>
    </w:p>
    <w:p>
      <w:pPr>
        <w:pStyle w:val="14"/>
        <w:jc w:val="center"/>
        <w:rPr>
          <w:rFonts w:ascii="方正小标宋简体" w:eastAsia="方正小标宋简体"/>
          <w:sz w:val="36"/>
          <w:szCs w:val="36"/>
        </w:rPr>
      </w:pPr>
      <w:r>
        <w:rPr>
          <w:rFonts w:hint="eastAsia" w:ascii="方正小标宋简体" w:eastAsia="方正小标宋简体"/>
          <w:sz w:val="36"/>
          <w:szCs w:val="36"/>
        </w:rPr>
        <w:t xml:space="preserve"> 党建活动经费</w:t>
      </w:r>
    </w:p>
    <w:p>
      <w:pPr>
        <w:pStyle w:val="14"/>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深入贯彻习近平总书记系列重要讲话精神和治国理政新理念新思想新战略，牢固树立“四个意识”，紧紧围绕统筹推进“五位一体”总体布局和协调推进“四个全面”战略布局，认真贯彻落实“五大发展”理念，主动适应经济社会发展新需求，坚持把加强基层党的建设、巩固党的执政基础作为贯穿社会治理和基层建设一条红线，积极探索新形势下城市基层党建工作的特点规律，统筹谋划，协调安排，突出重点，整体推进，不断提升党领导城市工作水平，促进城市基层社会治理现代化，开展党建活动。</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bookmarkStart w:id="0" w:name="_Hlk151383486"/>
      <w:bookmarkStart w:id="1" w:name="_Hlk117503360"/>
      <w:r>
        <w:rPr>
          <w:rFonts w:hint="eastAsia" w:ascii="宋体" w:hAnsi="宋体"/>
          <w:bCs/>
          <w:kern w:val="44"/>
          <w:sz w:val="28"/>
          <w:szCs w:val="28"/>
        </w:rPr>
        <w:t>（</w:t>
      </w:r>
      <w:r>
        <w:rPr>
          <w:rFonts w:ascii="宋体" w:hAnsi="宋体"/>
          <w:bCs/>
          <w:kern w:val="44"/>
          <w:sz w:val="28"/>
          <w:szCs w:val="28"/>
        </w:rPr>
        <w:t>1</w:t>
      </w:r>
      <w:r>
        <w:rPr>
          <w:rFonts w:hint="eastAsia" w:ascii="宋体" w:hAnsi="宋体"/>
          <w:bCs/>
          <w:kern w:val="44"/>
          <w:sz w:val="28"/>
          <w:szCs w:val="28"/>
        </w:rPr>
        <w:t>） 《中央和国家机关基层党组织党建活动和经费管理办法》</w:t>
      </w:r>
      <w:bookmarkEnd w:id="0"/>
      <w:r>
        <w:rPr>
          <w:rFonts w:hint="eastAsia" w:ascii="宋体" w:hAnsi="宋体"/>
          <w:bCs/>
          <w:kern w:val="44"/>
          <w:sz w:val="28"/>
          <w:szCs w:val="28"/>
        </w:rPr>
        <w:t>（财行〔20</w:t>
      </w:r>
      <w:r>
        <w:rPr>
          <w:rFonts w:ascii="宋体" w:hAnsi="宋体"/>
          <w:bCs/>
          <w:kern w:val="44"/>
          <w:sz w:val="28"/>
          <w:szCs w:val="28"/>
        </w:rPr>
        <w:t>17</w:t>
      </w:r>
      <w:r>
        <w:rPr>
          <w:rFonts w:hint="eastAsia" w:ascii="宋体" w:hAnsi="宋体"/>
          <w:bCs/>
          <w:kern w:val="44"/>
          <w:sz w:val="28"/>
          <w:szCs w:val="28"/>
        </w:rPr>
        <w:t>〕</w:t>
      </w:r>
      <w:r>
        <w:rPr>
          <w:rFonts w:ascii="宋体" w:hAnsi="宋体"/>
          <w:bCs/>
          <w:kern w:val="44"/>
          <w:sz w:val="28"/>
          <w:szCs w:val="28"/>
        </w:rPr>
        <w:t>324</w:t>
      </w:r>
      <w:r>
        <w:rPr>
          <w:rFonts w:hint="eastAsia" w:ascii="宋体" w:hAnsi="宋体"/>
          <w:bCs/>
          <w:kern w:val="44"/>
          <w:sz w:val="28"/>
          <w:szCs w:val="28"/>
        </w:rPr>
        <w:t>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2</w:t>
      </w:r>
      <w:r>
        <w:rPr>
          <w:rFonts w:hint="eastAsia" w:ascii="宋体" w:hAnsi="宋体"/>
          <w:bCs/>
          <w:kern w:val="44"/>
          <w:sz w:val="28"/>
          <w:szCs w:val="28"/>
        </w:rPr>
        <w:t>）《中共湖里区委办公室印发&lt;关于推进“两学一做”学习教育常态化制度化的实施方案&gt;的通知》（厦湖委办〔2017〕75号）；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）《中共湖里区委组织部关于打造城市基层党建工作示范点的通知》（厦湖委组〔2017〕16号）；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4</w:t>
      </w:r>
      <w:r>
        <w:rPr>
          <w:rFonts w:hint="eastAsia" w:ascii="宋体" w:hAnsi="宋体"/>
          <w:bCs/>
          <w:kern w:val="44"/>
          <w:sz w:val="28"/>
          <w:szCs w:val="28"/>
        </w:rPr>
        <w:t>）《中共厦门市委办公厅印发&lt;关于推进全市城市基层党建工作的实施意见（试行）&gt;的通知》（厦委办发〔2017〕14号）；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5</w:t>
      </w:r>
      <w:r>
        <w:rPr>
          <w:rFonts w:hint="eastAsia" w:ascii="宋体" w:hAnsi="宋体"/>
          <w:bCs/>
          <w:kern w:val="44"/>
          <w:sz w:val="28"/>
          <w:szCs w:val="28"/>
        </w:rPr>
        <w:t>）《中共厦门市委组织部印发&lt;关于加强城市基层党建工作综合保障的若干意见&gt;的通知》（厦委组〔2017〕64号）；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6</w:t>
      </w:r>
      <w:r>
        <w:rPr>
          <w:rFonts w:hint="eastAsia" w:ascii="宋体" w:hAnsi="宋体"/>
          <w:bCs/>
          <w:kern w:val="44"/>
          <w:sz w:val="28"/>
          <w:szCs w:val="28"/>
        </w:rPr>
        <w:t>）《中共厦门市委组织部 厦门市财政局关于调整全市非公有制企业和社会组织党建工作经费拨付来源的通知》（厦委组〔2020〕65号）.</w:t>
      </w:r>
    </w:p>
    <w:bookmarkEnd w:id="1"/>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项目实施年度为2</w:t>
      </w:r>
      <w:r>
        <w:rPr>
          <w:rFonts w:ascii="宋体" w:hAnsi="宋体"/>
          <w:bCs/>
          <w:kern w:val="44"/>
          <w:sz w:val="28"/>
          <w:szCs w:val="28"/>
        </w:rPr>
        <w:t>022</w:t>
      </w:r>
      <w:r>
        <w:rPr>
          <w:rFonts w:hint="eastAsia" w:ascii="宋体" w:hAnsi="宋体"/>
          <w:bCs/>
          <w:kern w:val="44"/>
          <w:sz w:val="28"/>
          <w:szCs w:val="28"/>
        </w:rPr>
        <w:t>年。</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开展街道党员活动、建立基层党建工作示范点，拨付小区治理经费，党建工作经费，党员活动经费，非公党建示范点经费补助，网格党建工作室经费。</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本项目在实施过程中严格按照《中央和国家机关基层党组织党建活动和经费管理办法》《中共厦门市委组织部 厦门市财政局关于调整全市非公有制企业和社会组织党建工作经费拨付来源的通知》（厦委组〔2020〕65号）文件实施。</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w:t>
      </w:r>
      <w:r>
        <w:rPr>
          <w:rFonts w:ascii="宋体" w:hAnsi="宋体"/>
          <w:bCs/>
          <w:kern w:val="44"/>
          <w:sz w:val="28"/>
          <w:szCs w:val="28"/>
        </w:rPr>
        <w:t>136.00</w:t>
      </w:r>
      <w:r>
        <w:rPr>
          <w:rFonts w:hint="eastAsia" w:ascii="宋体" w:hAnsi="宋体"/>
          <w:bCs/>
          <w:kern w:val="44"/>
          <w:sz w:val="28"/>
          <w:szCs w:val="28"/>
        </w:rPr>
        <w:t>万元，预算追加7</w:t>
      </w:r>
      <w:r>
        <w:rPr>
          <w:rFonts w:ascii="宋体" w:hAnsi="宋体"/>
          <w:bCs/>
          <w:kern w:val="44"/>
          <w:sz w:val="28"/>
          <w:szCs w:val="28"/>
        </w:rPr>
        <w:t>2.87</w:t>
      </w:r>
      <w:r>
        <w:rPr>
          <w:rFonts w:hint="eastAsia" w:ascii="宋体" w:hAnsi="宋体"/>
          <w:bCs/>
          <w:kern w:val="44"/>
          <w:sz w:val="28"/>
          <w:szCs w:val="28"/>
        </w:rPr>
        <w:t>万元，总预算</w:t>
      </w:r>
      <w:r>
        <w:rPr>
          <w:rFonts w:ascii="宋体" w:hAnsi="宋体"/>
          <w:bCs/>
          <w:kern w:val="44"/>
          <w:sz w:val="28"/>
          <w:szCs w:val="28"/>
        </w:rPr>
        <w:t>208.87</w:t>
      </w:r>
      <w:r>
        <w:rPr>
          <w:rFonts w:hint="eastAsia" w:ascii="宋体" w:hAnsi="宋体"/>
          <w:bCs/>
          <w:kern w:val="44"/>
          <w:sz w:val="28"/>
          <w:szCs w:val="28"/>
        </w:rPr>
        <w:t>万元，实际支出数</w:t>
      </w:r>
      <w:r>
        <w:rPr>
          <w:rFonts w:ascii="宋体" w:hAnsi="宋体"/>
          <w:bCs/>
          <w:kern w:val="44"/>
          <w:sz w:val="28"/>
          <w:szCs w:val="28"/>
        </w:rPr>
        <w:t>206.46</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tbl>
      <w:tblPr>
        <w:tblStyle w:val="6"/>
        <w:tblW w:w="9906" w:type="dxa"/>
        <w:tblInd w:w="113" w:type="dxa"/>
        <w:tblLayout w:type="autofit"/>
        <w:tblCellMar>
          <w:top w:w="0" w:type="dxa"/>
          <w:left w:w="108" w:type="dxa"/>
          <w:bottom w:w="0" w:type="dxa"/>
          <w:right w:w="108" w:type="dxa"/>
        </w:tblCellMar>
      </w:tblPr>
      <w:tblGrid>
        <w:gridCol w:w="6799"/>
        <w:gridCol w:w="3107"/>
      </w:tblGrid>
      <w:tr>
        <w:trPr>
          <w:trHeight w:val="624" w:hRule="atLeast"/>
        </w:trPr>
        <w:tc>
          <w:tcPr>
            <w:tcW w:w="679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支出项目</w:t>
            </w:r>
          </w:p>
        </w:tc>
        <w:tc>
          <w:tcPr>
            <w:tcW w:w="310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金额（单位：万元）</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视频党校LED显示屏维修</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3.86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枋湖南社区党群服务中心氛围提升户外大屏经费</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22.40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枋湖南社区金色阳光小区以奖代补项目（党群办公室建设）奖励</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枋湖南社区龙湖花园小区以奖代补项目（小区中庭提升）奖励</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禾美社区新景翡翠湾小区以奖代补项目（小区外围路面改造）奖励</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禾山社区东晖广场小区以奖代补项目（小区居民之家改造）奖励</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禾山社区御之苑小区以奖代补项目（小区中庭改造）奖励</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禾欣社区艾德花园小区以奖代补项目（高空抛物）奖励</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禾欣社区翠湖庄园小区以奖代补项目（高空抛物）奖励</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禾缘社区国贸润园小区以奖代补项目（党群活动室）奖励</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湾北社区珊瑚海小区“近邻党建”示范点补助经费</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5.00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湾北社区五缘尊府小区以奖代补项目（高空抛物监控）奖励</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围里社区打造网格党建工作室经费</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20.00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支付2022年基层党组织书记培训班培训费</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5.89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支付街道附楼布置提升费用</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0.20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支付绿牌新天地园区党建联盟新业态党建典型培育补助经费</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4.80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支付厦门党建E家项目配套电子印章延期经费</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0.10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支付小区治理以奖代补项目工程造价咨询服务费</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0.61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支付追加宏伟大厦以奖代补项目奖励金</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0.25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党建活动经费</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35.36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党建宣传费</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18.00 </w:t>
            </w:r>
          </w:p>
        </w:tc>
      </w:tr>
      <w:tr>
        <w:tblPrEx>
          <w:tblCellMar>
            <w:top w:w="0" w:type="dxa"/>
            <w:left w:w="108" w:type="dxa"/>
            <w:bottom w:w="0" w:type="dxa"/>
            <w:right w:w="108" w:type="dxa"/>
          </w:tblCellMar>
        </w:tblPrEx>
        <w:trPr>
          <w:trHeight w:val="624" w:hRule="atLeast"/>
        </w:trPr>
        <w:tc>
          <w:tcPr>
            <w:tcW w:w="679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合计</w:t>
            </w:r>
          </w:p>
        </w:tc>
        <w:tc>
          <w:tcPr>
            <w:tcW w:w="310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206.46</w:t>
            </w:r>
          </w:p>
        </w:tc>
      </w:tr>
    </w:tbl>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按照《中央和国家机关基层党组织党建活动和经费管理办法》文件规定，开展各项党建活动；按照《中共湖里区委组织部关于打造城市基层党建工作示范点的通知》（厦湖委组〔2017〕16号）文件要求，建立基层党建工作示范点。</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本项目资金严格按照《禾山街道财务管理制度》，项目资金专项用于党员活动项目，专项资金实行专款专用，及时下拨经费，无使用不合理的情况。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本项目严格按照《中央和国家机关基层党组织党建活动和经费管理办法》文件</w:t>
      </w:r>
      <w:r>
        <w:rPr>
          <w:rFonts w:ascii="宋体" w:hAnsi="宋体"/>
          <w:bCs/>
          <w:kern w:val="44"/>
          <w:sz w:val="28"/>
          <w:szCs w:val="28"/>
        </w:rPr>
        <w:t>执行</w:t>
      </w:r>
      <w:r>
        <w:rPr>
          <w:rFonts w:hint="eastAsia" w:ascii="宋体" w:hAnsi="宋体"/>
          <w:bCs/>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本项目资金由区财政承担。</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kern w:val="44"/>
          <w:sz w:val="28"/>
          <w:szCs w:val="28"/>
        </w:rPr>
      </w:pPr>
      <w:r>
        <w:rPr>
          <w:rFonts w:ascii="宋体" w:hAnsi="宋体"/>
          <w:b/>
          <w:kern w:val="44"/>
          <w:sz w:val="28"/>
          <w:szCs w:val="28"/>
        </w:rPr>
        <w:t>1</w:t>
      </w:r>
      <w:r>
        <w:rPr>
          <w:rFonts w:hint="eastAsia" w:ascii="宋体" w:hAnsi="宋体"/>
          <w:b/>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206.46</w:t>
      </w:r>
      <w:r>
        <w:rPr>
          <w:rFonts w:hint="eastAsia" w:ascii="宋体" w:hAnsi="宋体"/>
          <w:bCs/>
          <w:kern w:val="44"/>
          <w:sz w:val="28"/>
          <w:szCs w:val="28"/>
        </w:rPr>
        <w:t>万元，支出率</w:t>
      </w:r>
      <w:r>
        <w:rPr>
          <w:rFonts w:ascii="宋体" w:hAnsi="宋体"/>
          <w:bCs/>
          <w:kern w:val="44"/>
          <w:sz w:val="28"/>
          <w:szCs w:val="28"/>
        </w:rPr>
        <w:t>98.85%</w:t>
      </w:r>
      <w:r>
        <w:rPr>
          <w:rFonts w:hint="eastAsia" w:ascii="宋体" w:hAnsi="宋体"/>
          <w:bCs/>
          <w:kern w:val="44"/>
          <w:sz w:val="28"/>
          <w:szCs w:val="28"/>
        </w:rPr>
        <w:t>，全部用于党建活动，</w:t>
      </w:r>
      <w:r>
        <w:rPr>
          <w:rFonts w:hint="eastAsia" w:ascii="宋体" w:hAnsi="宋体" w:cs="仿宋_GB2312"/>
          <w:kern w:val="44"/>
          <w:sz w:val="28"/>
          <w:szCs w:val="28"/>
        </w:rPr>
        <w:t>经费下拨及时率100%</w:t>
      </w:r>
      <w:r>
        <w:rPr>
          <w:rFonts w:hint="eastAsia" w:ascii="宋体" w:hAnsi="宋体"/>
          <w:bCs/>
          <w:kern w:val="44"/>
          <w:sz w:val="28"/>
          <w:szCs w:val="28"/>
        </w:rPr>
        <w:t>。</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202</w:t>
      </w:r>
      <w:r>
        <w:rPr>
          <w:rFonts w:ascii="宋体" w:hAnsi="宋体"/>
          <w:bCs/>
          <w:kern w:val="44"/>
          <w:sz w:val="28"/>
          <w:szCs w:val="28"/>
        </w:rPr>
        <w:t>2</w:t>
      </w:r>
      <w:r>
        <w:rPr>
          <w:rFonts w:hint="eastAsia" w:ascii="宋体" w:hAnsi="宋体"/>
          <w:bCs/>
          <w:kern w:val="44"/>
          <w:sz w:val="28"/>
          <w:szCs w:val="28"/>
        </w:rPr>
        <w:t>年党建引领小区治疗，扩大党建“亲邻朋友圈”，推动小区以奖代补整治小区，小区党支部组织力得到进一步提高。</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202</w:t>
      </w:r>
      <w:r>
        <w:rPr>
          <w:rFonts w:ascii="宋体" w:hAnsi="宋体"/>
          <w:bCs/>
          <w:kern w:val="44"/>
          <w:sz w:val="28"/>
          <w:szCs w:val="28"/>
        </w:rPr>
        <w:t>2</w:t>
      </w:r>
      <w:r>
        <w:rPr>
          <w:rFonts w:hint="eastAsia" w:ascii="宋体" w:hAnsi="宋体"/>
          <w:bCs/>
          <w:kern w:val="44"/>
          <w:sz w:val="28"/>
          <w:szCs w:val="28"/>
        </w:rPr>
        <w:t>年</w:t>
      </w:r>
      <w:r>
        <w:rPr>
          <w:rFonts w:ascii="宋体" w:hAnsi="宋体"/>
          <w:bCs/>
          <w:kern w:val="44"/>
          <w:sz w:val="28"/>
          <w:szCs w:val="28"/>
        </w:rPr>
        <w:t>街属各级党组织共开展党的二十大精神学习会议、主题党日活动400余场，参加人数17500余人次</w:t>
      </w:r>
      <w:r>
        <w:rPr>
          <w:rFonts w:hint="eastAsia" w:ascii="宋体" w:hAnsi="宋体"/>
          <w:bCs/>
          <w:kern w:val="44"/>
          <w:sz w:val="28"/>
          <w:szCs w:val="28"/>
        </w:rPr>
        <w:t>。</w:t>
      </w:r>
      <w:r>
        <w:rPr>
          <w:rFonts w:ascii="宋体" w:hAnsi="宋体"/>
          <w:bCs/>
          <w:kern w:val="44"/>
          <w:sz w:val="28"/>
          <w:szCs w:val="28"/>
        </w:rPr>
        <w:t>开展“朝阳禾山新青年”分享沙龙、“领读中国全民诵读活动”等群众喜闻乐见的主题宣传活动22场，宣讲“禾山模式”被国家级、省级媒体刊登报道10条。创作选送《有为青年的社区梦》参加全市第三届党员教育微视频大赛，并荣获三等奖。</w:t>
      </w:r>
    </w:p>
    <w:p>
      <w:pPr>
        <w:spacing w:line="580" w:lineRule="exact"/>
        <w:ind w:firstLine="560" w:firstLineChars="200"/>
        <w:rPr>
          <w:rFonts w:ascii="宋体" w:hAnsi="宋体"/>
          <w:bCs/>
          <w:kern w:val="44"/>
          <w:sz w:val="28"/>
          <w:szCs w:val="28"/>
        </w:rPr>
      </w:pPr>
      <w:r>
        <w:rPr>
          <w:rFonts w:ascii="宋体" w:hAnsi="宋体"/>
          <w:bCs/>
          <w:kern w:val="44"/>
          <w:sz w:val="28"/>
          <w:szCs w:val="28"/>
        </w:rPr>
        <w:t>禾美社区</w:t>
      </w:r>
      <w:r>
        <w:rPr>
          <w:rFonts w:hint="eastAsia" w:ascii="宋体" w:hAnsi="宋体"/>
          <w:bCs/>
          <w:kern w:val="44"/>
          <w:sz w:val="28"/>
          <w:szCs w:val="28"/>
        </w:rPr>
        <w:t>综合网格工作室</w:t>
      </w:r>
      <w:r>
        <w:rPr>
          <w:rFonts w:ascii="宋体" w:hAnsi="宋体"/>
          <w:bCs/>
          <w:kern w:val="44"/>
          <w:sz w:val="28"/>
          <w:szCs w:val="28"/>
        </w:rPr>
        <w:t>于2022年7月7日挂牌成立，坚持党建引领社区治理网格化服务，创新活动载体，努力在完善网格制度、加强党建宣传、提供精细化服务、构建和谐社区等方面做深做实，不断为社区网格服务管理增添效力，打造“有温度的社区”</w:t>
      </w:r>
      <w:r>
        <w:rPr>
          <w:rFonts w:hint="eastAsia" w:ascii="宋体" w:hAnsi="宋体"/>
          <w:bCs/>
          <w:kern w:val="44"/>
          <w:sz w:val="28"/>
          <w:szCs w:val="28"/>
        </w:rPr>
        <w:t>。</w:t>
      </w:r>
    </w:p>
    <w:p>
      <w:pPr>
        <w:spacing w:line="580" w:lineRule="exact"/>
        <w:ind w:firstLine="560" w:firstLineChars="200"/>
        <w:rPr>
          <w:rFonts w:ascii="宋体" w:hAnsi="宋体"/>
          <w:bCs/>
          <w:kern w:val="44"/>
          <w:sz w:val="28"/>
          <w:szCs w:val="28"/>
        </w:rPr>
      </w:pPr>
      <w:r>
        <w:rPr>
          <w:rFonts w:ascii="宋体" w:hAnsi="宋体"/>
          <w:bCs/>
          <w:kern w:val="44"/>
          <w:sz w:val="28"/>
          <w:szCs w:val="28"/>
        </w:rPr>
        <w:t>强化党建引领网格治理，成立网格党组织49个、网格党建共同体30个；结合城中村疫情防控和治理，成立33个城中村物理网格党小组。完成发展党员排查整顿对象529名。建立全区首个党建引领警网融合工作站。</w:t>
      </w:r>
    </w:p>
    <w:p>
      <w:pPr>
        <w:spacing w:line="580" w:lineRule="exact"/>
        <w:ind w:firstLine="560" w:firstLineChars="200"/>
        <w:rPr>
          <w:rFonts w:ascii="宋体" w:hAnsi="宋体"/>
          <w:bCs/>
          <w:kern w:val="44"/>
          <w:sz w:val="28"/>
          <w:szCs w:val="28"/>
        </w:rPr>
      </w:pPr>
      <w:r>
        <w:rPr>
          <w:rFonts w:ascii="宋体" w:hAnsi="宋体"/>
          <w:bCs/>
          <w:kern w:val="44"/>
          <w:sz w:val="28"/>
          <w:szCs w:val="28"/>
        </w:rPr>
        <w:t>大力培育近邻党建先进社区、先进小区党支部，禾山社区被市委组织部评为第一批近邻党建先进社区，禾山社区新景龙郡小区党支部、五缘湾北社区珊瑚海党支部被市委组织部评为第一批先进小区党支部。</w:t>
      </w:r>
    </w:p>
    <w:p>
      <w:pPr>
        <w:spacing w:line="580" w:lineRule="exact"/>
        <w:ind w:firstLine="560" w:firstLineChars="200"/>
        <w:rPr>
          <w:rFonts w:ascii="宋体" w:hAnsi="宋体"/>
          <w:bCs/>
          <w:kern w:val="44"/>
          <w:sz w:val="28"/>
          <w:szCs w:val="28"/>
        </w:rPr>
      </w:pPr>
      <w:r>
        <w:rPr>
          <w:rFonts w:ascii="宋体" w:hAnsi="宋体"/>
          <w:bCs/>
          <w:kern w:val="44"/>
          <w:sz w:val="28"/>
          <w:szCs w:val="28"/>
        </w:rPr>
        <w:t>建立“我为群众办实事”长效机制，深度开展“小区的幸福链接2.0”活动，深入推进街道“近邻党建问诊行”，结合“开门一件事”，下沉到网格征集基层治理问题62个，同时立足问题破解需求，精准链接共建党组织20个，有效生成并快速推进32个百姓所急所忧所盼的民生项目。其中，禾山社区近邻服务成效被央视法治与法频道播发</w:t>
      </w:r>
      <w:r>
        <w:rPr>
          <w:rFonts w:hint="eastAsia" w:ascii="宋体" w:hAnsi="宋体"/>
          <w:bCs/>
          <w:kern w:val="44"/>
          <w:sz w:val="28"/>
          <w:szCs w:val="28"/>
        </w:rPr>
        <w:t>。</w:t>
      </w:r>
    </w:p>
    <w:p>
      <w:pPr>
        <w:spacing w:line="580" w:lineRule="exact"/>
        <w:ind w:firstLine="560" w:firstLineChars="200"/>
        <w:rPr>
          <w:rFonts w:ascii="宋体" w:hAnsi="宋体"/>
          <w:bCs/>
          <w:kern w:val="44"/>
          <w:sz w:val="28"/>
          <w:szCs w:val="28"/>
        </w:rPr>
      </w:pPr>
      <w:r>
        <w:rPr>
          <w:rFonts w:ascii="宋体" w:hAnsi="宋体"/>
          <w:bCs/>
          <w:kern w:val="44"/>
          <w:sz w:val="28"/>
          <w:szCs w:val="28"/>
        </w:rPr>
        <w:t>着力突破新业态党建工作难题，打造绿牌新天地园区党建联盟示范点，在全市流动党员管理试点工作暨新业态新就业群体党建工作现场推进会作经验分享发言并刊载在《厦门城市党建》</w:t>
      </w:r>
      <w:r>
        <w:rPr>
          <w:rFonts w:hint="eastAsia" w:ascii="宋体" w:hAnsi="宋体"/>
          <w:bCs/>
          <w:kern w:val="44"/>
          <w:sz w:val="28"/>
          <w:szCs w:val="28"/>
        </w:rPr>
        <w:t>。</w:t>
      </w:r>
    </w:p>
    <w:p>
      <w:pPr>
        <w:spacing w:line="580" w:lineRule="exact"/>
        <w:ind w:firstLine="560" w:firstLineChars="200"/>
        <w:rPr>
          <w:rFonts w:ascii="宋体" w:hAnsi="宋体"/>
          <w:bCs/>
          <w:kern w:val="44"/>
          <w:sz w:val="28"/>
          <w:szCs w:val="28"/>
        </w:rPr>
      </w:pPr>
      <w:r>
        <w:rPr>
          <w:rFonts w:ascii="宋体" w:hAnsi="宋体"/>
          <w:bCs/>
          <w:kern w:val="44"/>
          <w:sz w:val="28"/>
          <w:szCs w:val="28"/>
        </w:rPr>
        <w:t>以基层观测点制度建设为契机，推动党内法规制度贯彻执行。实施好“朝阳育才”干部锻造计划，上好全体干部职工党风廉政“开年第一课”</w:t>
      </w:r>
      <w:r>
        <w:rPr>
          <w:rFonts w:hint="eastAsia" w:ascii="宋体" w:hAnsi="宋体"/>
          <w:bCs/>
          <w:kern w:val="44"/>
          <w:sz w:val="28"/>
          <w:szCs w:val="28"/>
        </w:rPr>
        <w:t>。</w:t>
      </w:r>
    </w:p>
    <w:p>
      <w:pPr>
        <w:spacing w:line="580" w:lineRule="exact"/>
        <w:ind w:firstLine="560" w:firstLineChars="200"/>
        <w:rPr>
          <w:rFonts w:ascii="宋体" w:hAnsi="宋体"/>
          <w:bCs/>
          <w:kern w:val="44"/>
          <w:sz w:val="28"/>
          <w:szCs w:val="28"/>
        </w:rPr>
      </w:pPr>
      <w:r>
        <w:rPr>
          <w:rFonts w:ascii="宋体" w:hAnsi="宋体"/>
          <w:bCs/>
          <w:kern w:val="44"/>
          <w:sz w:val="28"/>
          <w:szCs w:val="28"/>
        </w:rPr>
        <w:t>加强党员队伍教育管理，举办“在党50年”纪念章颁发仪式；找到流动党员393名，通过设立街道“流动党员之家”，成立4个“流动党员服务站”，组建1个新业态党建共同体、6个新业态及流动党员党组织，引导流动党员融入禾山、扎根鹭岛，发挥作用、绽放风采。</w:t>
      </w:r>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60" w:lineRule="exact"/>
        <w:ind w:firstLine="630" w:firstLineChars="225"/>
        <w:rPr>
          <w:rFonts w:ascii="宋体" w:hAnsi="宋体"/>
          <w:kern w:val="44"/>
          <w:sz w:val="28"/>
          <w:szCs w:val="28"/>
        </w:rPr>
      </w:pPr>
      <w:r>
        <w:rPr>
          <w:rFonts w:hint="eastAsia" w:ascii="宋体" w:hAnsi="宋体"/>
          <w:bCs/>
          <w:kern w:val="44"/>
          <w:sz w:val="28"/>
          <w:szCs w:val="28"/>
        </w:rPr>
        <w:t>开展党员活动和培训，不断提高党员的党性素养，凝聚党员力量，服务中心工作</w:t>
      </w:r>
      <w:r>
        <w:rPr>
          <w:rFonts w:ascii="宋体" w:hAnsi="宋体"/>
          <w:kern w:val="44"/>
          <w:sz w:val="28"/>
          <w:szCs w:val="28"/>
        </w:rPr>
        <w:t>。</w:t>
      </w:r>
      <w:r>
        <w:rPr>
          <w:rFonts w:hint="eastAsia" w:ascii="宋体" w:hAnsi="宋体"/>
          <w:bCs/>
          <w:kern w:val="44"/>
          <w:sz w:val="28"/>
          <w:szCs w:val="28"/>
        </w:rPr>
        <w:t>增强党员归属感，促进党内和谐和党员团结。</w:t>
      </w:r>
      <w:r>
        <w:rPr>
          <w:rFonts w:ascii="宋体" w:hAnsi="宋体"/>
          <w:bCs/>
          <w:kern w:val="44"/>
          <w:sz w:val="28"/>
          <w:szCs w:val="28"/>
        </w:rPr>
        <w:t>党建网格治理，创新活动载体，</w:t>
      </w:r>
      <w:r>
        <w:rPr>
          <w:rFonts w:hint="eastAsia" w:ascii="宋体" w:hAnsi="宋体"/>
          <w:bCs/>
          <w:kern w:val="44"/>
          <w:sz w:val="28"/>
          <w:szCs w:val="28"/>
        </w:rPr>
        <w:t>为</w:t>
      </w:r>
      <w:r>
        <w:rPr>
          <w:rFonts w:ascii="宋体" w:hAnsi="宋体"/>
          <w:bCs/>
          <w:kern w:val="44"/>
          <w:sz w:val="28"/>
          <w:szCs w:val="28"/>
        </w:rPr>
        <w:t>提供精细化服务、构建和谐社区等方面做深做实，不断为社区网格服务管理增添效力，打造</w:t>
      </w:r>
      <w:bookmarkStart w:id="2" w:name="_GoBack"/>
      <w:bookmarkEnd w:id="2"/>
      <w:r>
        <w:rPr>
          <w:rFonts w:ascii="宋体" w:hAnsi="宋体"/>
          <w:bCs/>
          <w:kern w:val="44"/>
          <w:sz w:val="28"/>
          <w:szCs w:val="28"/>
        </w:rPr>
        <w:t>有温度的社区</w:t>
      </w:r>
      <w:r>
        <w:rPr>
          <w:rFonts w:hint="eastAsia" w:ascii="宋体" w:hAnsi="宋体"/>
          <w:bCs/>
          <w:kern w:val="44"/>
          <w:sz w:val="28"/>
          <w:szCs w:val="28"/>
        </w:rPr>
        <w:t>。</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cs="仿宋_GB2312"/>
          <w:kern w:val="44"/>
          <w:sz w:val="28"/>
          <w:szCs w:val="28"/>
        </w:rPr>
        <w:t>群众满意度</w:t>
      </w:r>
      <w:r>
        <w:rPr>
          <w:rFonts w:hint="eastAsia" w:ascii="宋体" w:hAnsi="宋体"/>
          <w:kern w:val="44"/>
          <w:sz w:val="28"/>
          <w:szCs w:val="28"/>
        </w:rPr>
        <w:t>≧95。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1、支出进度</w:t>
      </w:r>
    </w:p>
    <w:p>
      <w:pPr>
        <w:spacing w:line="56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w:t>
      </w:r>
      <w:r>
        <w:rPr>
          <w:rFonts w:hint="eastAsia" w:ascii="宋体" w:hAnsi="宋体"/>
          <w:bCs/>
          <w:kern w:val="44"/>
          <w:sz w:val="28"/>
          <w:szCs w:val="28"/>
        </w:rPr>
        <w:t>年初预算</w:t>
      </w:r>
      <w:r>
        <w:rPr>
          <w:rFonts w:ascii="宋体" w:hAnsi="宋体"/>
          <w:bCs/>
          <w:kern w:val="44"/>
          <w:sz w:val="28"/>
          <w:szCs w:val="28"/>
        </w:rPr>
        <w:t>136</w:t>
      </w:r>
      <w:r>
        <w:rPr>
          <w:rFonts w:hint="eastAsia" w:ascii="宋体" w:hAnsi="宋体"/>
          <w:bCs/>
          <w:kern w:val="44"/>
          <w:sz w:val="28"/>
          <w:szCs w:val="28"/>
        </w:rPr>
        <w:t>万元，预算追加7</w:t>
      </w:r>
      <w:r>
        <w:rPr>
          <w:rFonts w:ascii="宋体" w:hAnsi="宋体"/>
          <w:bCs/>
          <w:kern w:val="44"/>
          <w:sz w:val="28"/>
          <w:szCs w:val="28"/>
        </w:rPr>
        <w:t>2.87</w:t>
      </w:r>
      <w:r>
        <w:rPr>
          <w:rFonts w:hint="eastAsia" w:ascii="宋体" w:hAnsi="宋体"/>
          <w:bCs/>
          <w:kern w:val="44"/>
          <w:sz w:val="28"/>
          <w:szCs w:val="28"/>
        </w:rPr>
        <w:t>万元，总预算</w:t>
      </w:r>
      <w:r>
        <w:rPr>
          <w:rFonts w:ascii="宋体" w:hAnsi="宋体"/>
          <w:bCs/>
          <w:kern w:val="44"/>
          <w:sz w:val="28"/>
          <w:szCs w:val="28"/>
        </w:rPr>
        <w:t>208.87</w:t>
      </w:r>
      <w:r>
        <w:rPr>
          <w:rFonts w:hint="eastAsia" w:ascii="宋体" w:hAnsi="宋体"/>
          <w:bCs/>
          <w:kern w:val="44"/>
          <w:sz w:val="28"/>
          <w:szCs w:val="28"/>
        </w:rPr>
        <w:t>万元，</w:t>
      </w:r>
      <w:r>
        <w:rPr>
          <w:rFonts w:hint="eastAsia" w:ascii="宋体" w:hAnsi="宋体"/>
          <w:kern w:val="44"/>
          <w:sz w:val="28"/>
          <w:szCs w:val="28"/>
        </w:rPr>
        <w:t>实际授权支付数</w:t>
      </w:r>
      <w:r>
        <w:rPr>
          <w:rFonts w:ascii="宋体" w:hAnsi="宋体"/>
          <w:bCs/>
          <w:kern w:val="44"/>
          <w:sz w:val="28"/>
          <w:szCs w:val="28"/>
        </w:rPr>
        <w:t>206.46</w:t>
      </w:r>
      <w:r>
        <w:rPr>
          <w:rFonts w:hint="eastAsia" w:ascii="宋体" w:hAnsi="宋体"/>
          <w:kern w:val="44"/>
          <w:sz w:val="28"/>
          <w:szCs w:val="28"/>
        </w:rPr>
        <w:t>万元，支出进度达到</w:t>
      </w:r>
      <w:r>
        <w:rPr>
          <w:rFonts w:ascii="宋体" w:hAnsi="宋体"/>
          <w:kern w:val="44"/>
          <w:sz w:val="28"/>
          <w:szCs w:val="28"/>
        </w:rPr>
        <w:t>98.85</w:t>
      </w:r>
      <w:r>
        <w:rPr>
          <w:rFonts w:hint="eastAsia" w:ascii="宋体" w:hAnsi="宋体"/>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560" w:lineRule="exact"/>
        <w:ind w:firstLine="630" w:firstLineChars="225"/>
        <w:rPr>
          <w:rFonts w:ascii="宋体" w:hAnsi="宋体"/>
          <w:kern w:val="44"/>
          <w:sz w:val="28"/>
          <w:szCs w:val="28"/>
        </w:rPr>
      </w:pPr>
      <w:r>
        <w:rPr>
          <w:rFonts w:hint="eastAsia" w:ascii="宋体" w:hAnsi="宋体"/>
          <w:kern w:val="44"/>
          <w:sz w:val="28"/>
          <w:szCs w:val="28"/>
        </w:rPr>
        <w:t>截至202</w:t>
      </w:r>
      <w:r>
        <w:rPr>
          <w:rFonts w:ascii="宋体" w:hAnsi="宋体"/>
          <w:kern w:val="44"/>
          <w:sz w:val="28"/>
          <w:szCs w:val="28"/>
        </w:rPr>
        <w:t>2</w:t>
      </w:r>
      <w:r>
        <w:rPr>
          <w:rFonts w:hint="eastAsia" w:ascii="宋体" w:hAnsi="宋体"/>
          <w:kern w:val="44"/>
          <w:sz w:val="28"/>
          <w:szCs w:val="28"/>
        </w:rPr>
        <w:t>年12月，本项目已支出</w:t>
      </w:r>
      <w:r>
        <w:rPr>
          <w:rFonts w:ascii="宋体" w:hAnsi="宋体"/>
          <w:kern w:val="44"/>
          <w:sz w:val="28"/>
          <w:szCs w:val="28"/>
        </w:rPr>
        <w:t>206.46</w:t>
      </w:r>
      <w:r>
        <w:rPr>
          <w:rFonts w:hint="eastAsia" w:ascii="宋体" w:hAnsi="宋体"/>
          <w:kern w:val="44"/>
          <w:sz w:val="28"/>
          <w:szCs w:val="28"/>
        </w:rPr>
        <w:t>万元，经费下拨及时率100%，支出效率良好。</w:t>
      </w:r>
    </w:p>
    <w:p>
      <w:pPr>
        <w:spacing w:line="440" w:lineRule="exact"/>
        <w:ind w:firstLine="562" w:firstLineChars="200"/>
        <w:rPr>
          <w:rFonts w:ascii="宋体" w:hAnsi="宋体" w:cs="仿宋_GB2312"/>
          <w:b/>
          <w:bCs/>
          <w:kern w:val="44"/>
          <w:sz w:val="28"/>
          <w:szCs w:val="28"/>
        </w:rPr>
      </w:pPr>
      <w:r>
        <w:rPr>
          <w:rFonts w:hint="eastAsia" w:ascii="宋体" w:hAnsi="宋体" w:cs="仿宋_GB2312"/>
          <w:b/>
          <w:bCs/>
          <w:sz w:val="28"/>
          <w:szCs w:val="28"/>
        </w:rPr>
        <w:t>3、</w:t>
      </w:r>
      <w:r>
        <w:rPr>
          <w:rFonts w:hint="eastAsia" w:ascii="宋体" w:hAnsi="宋体" w:cs="仿宋_GB2312"/>
          <w:b/>
          <w:bCs/>
          <w:kern w:val="44"/>
          <w:sz w:val="28"/>
          <w:szCs w:val="28"/>
        </w:rPr>
        <w:t>支出规范</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本项目严格按照文件标准实施，确保资金专项用党建活动，项目资金专款专用，无挪用其他。</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560" w:lineRule="exact"/>
        <w:ind w:firstLine="630" w:firstLineChars="225"/>
        <w:rPr>
          <w:rFonts w:ascii="宋体" w:hAnsi="宋体"/>
          <w:kern w:val="44"/>
          <w:sz w:val="28"/>
          <w:szCs w:val="28"/>
        </w:rPr>
      </w:pPr>
      <w:r>
        <w:rPr>
          <w:rFonts w:hint="eastAsia" w:ascii="宋体" w:hAnsi="宋体"/>
          <w:kern w:val="44"/>
          <w:sz w:val="28"/>
          <w:szCs w:val="28"/>
        </w:rPr>
        <w:t>区财政局通过国库集中支付系统分配下发本项目资金共计</w:t>
      </w:r>
      <w:r>
        <w:rPr>
          <w:rFonts w:ascii="宋体" w:hAnsi="宋体"/>
          <w:kern w:val="44"/>
          <w:sz w:val="28"/>
          <w:szCs w:val="28"/>
        </w:rPr>
        <w:t>208.87</w:t>
      </w:r>
      <w:r>
        <w:rPr>
          <w:rFonts w:hint="eastAsia" w:ascii="宋体" w:hAnsi="宋体"/>
          <w:kern w:val="44"/>
          <w:sz w:val="28"/>
          <w:szCs w:val="28"/>
        </w:rPr>
        <w:t>万元，禾山街道办事处按照年初项目工作计划，根据文件标准及时下拨党建工作经费，建设基层党建工作示范点，进一步抓好城市基层党务队伍建设、加大城市基层党建经费投入和拓宽城市基层党建阵地。</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8</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60" w:lineRule="exact"/>
        <w:ind w:firstLine="645"/>
        <w:rPr>
          <w:rFonts w:ascii="宋体" w:hAnsi="宋体"/>
          <w:kern w:val="44"/>
          <w:sz w:val="28"/>
          <w:szCs w:val="28"/>
        </w:rPr>
      </w:pPr>
      <w:r>
        <w:rPr>
          <w:rFonts w:hint="eastAsia" w:ascii="宋体" w:hAnsi="宋体"/>
          <w:kern w:val="44"/>
          <w:sz w:val="28"/>
          <w:szCs w:val="28"/>
        </w:rPr>
        <w:t>本项目严格按照文件精神开展实施工作，项目实施过程中不存在问题。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严格审核控制资金支出，根据文件要求以及财务管理制度，确保资金专款专用，财政支出不存在问</w:t>
      </w:r>
      <w:r>
        <w:rPr>
          <w:rFonts w:hint="eastAsia" w:ascii="宋体" w:hAnsi="宋体"/>
          <w:kern w:val="44"/>
          <w:sz w:val="28"/>
          <w:szCs w:val="28"/>
        </w:rPr>
        <w:t>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本项目支出严格按照相关政策执行，支出合法合规，</w:t>
      </w:r>
      <w:r>
        <w:rPr>
          <w:rFonts w:hint="eastAsia" w:ascii="宋体" w:hAnsi="宋体"/>
          <w:bCs/>
          <w:kern w:val="44"/>
          <w:sz w:val="28"/>
          <w:szCs w:val="28"/>
        </w:rPr>
        <w:t>支出政策制定方面</w:t>
      </w:r>
      <w:r>
        <w:rPr>
          <w:rFonts w:hint="eastAsia" w:ascii="宋体" w:hAnsi="宋体"/>
          <w:kern w:val="44"/>
          <w:sz w:val="28"/>
          <w:szCs w:val="28"/>
        </w:rPr>
        <w:t>不存在问题。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我街道严格按照文件标准实施项目，认真开展年初绩效目标设定，年中绩效目标监控工作，及时足额发放经费，合理、合规使用项目资金，落实资金到位，保障项目顺利开展。</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kern w:val="44"/>
          <w:sz w:val="28"/>
          <w:szCs w:val="28"/>
        </w:rPr>
        <w:t>继续</w:t>
      </w:r>
      <w:r>
        <w:rPr>
          <w:rFonts w:hint="eastAsia" w:ascii="宋体" w:hAnsi="宋体"/>
          <w:bCs/>
          <w:kern w:val="44"/>
          <w:sz w:val="28"/>
          <w:szCs w:val="28"/>
        </w:rPr>
        <w:t>加强党组织建设，形成常态化巡查机制，落实巡查常态化工作</w:t>
      </w:r>
      <w:r>
        <w:rPr>
          <w:rFonts w:hint="eastAsia" w:ascii="宋体" w:hAnsi="宋体"/>
          <w:kern w:val="44"/>
          <w:sz w:val="28"/>
          <w:szCs w:val="28"/>
        </w:rPr>
        <w:t>。</w:t>
      </w:r>
    </w:p>
    <w:p>
      <w:pPr>
        <w:spacing w:line="560" w:lineRule="exact"/>
        <w:ind w:firstLine="630" w:firstLineChars="225"/>
        <w:rPr>
          <w:rFonts w:ascii="宋体" w:hAnsi="宋体"/>
          <w:kern w:val="44"/>
          <w:sz w:val="28"/>
          <w:szCs w:val="28"/>
        </w:rPr>
      </w:pPr>
      <w:r>
        <w:rPr>
          <w:rFonts w:hint="eastAsia" w:ascii="宋体" w:hAnsi="宋体"/>
          <w:kern w:val="44"/>
          <w:sz w:val="28"/>
          <w:szCs w:val="28"/>
        </w:rPr>
        <w:t>2、</w:t>
      </w:r>
      <w:r>
        <w:rPr>
          <w:rFonts w:hint="eastAsia" w:ascii="宋体" w:hAnsi="宋体"/>
          <w:bCs/>
          <w:kern w:val="44"/>
          <w:sz w:val="28"/>
          <w:szCs w:val="28"/>
        </w:rPr>
        <w:t>进一步完善小区问题处理机制。结合“小区党建问诊行”、领导干部挂钩党支部联系点等形式，进一步完善小区问题发现协调破解机制，强化征集、建账、协调、销号、回访“五步工作法”在小区治理工作中的实效作用。</w:t>
      </w:r>
    </w:p>
    <w:p>
      <w:pPr>
        <w:adjustRightInd w:val="0"/>
        <w:snapToGrid w:val="0"/>
        <w:spacing w:line="560" w:lineRule="exact"/>
        <w:ind w:firstLine="560" w:firstLineChars="200"/>
        <w:outlineLvl w:val="0"/>
        <w:rPr>
          <w:rFonts w:ascii="宋体" w:hAnsi="宋体"/>
          <w:kern w:val="44"/>
          <w:sz w:val="28"/>
          <w:szCs w:val="28"/>
        </w:rPr>
      </w:pP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Fonts w:ascii="仿宋_GB2312" w:eastAsia="仿宋_GB2312"/>
        <w:sz w:val="28"/>
        <w:szCs w:val="28"/>
      </w:rPr>
    </w:pPr>
    <w:r>
      <w:rPr>
        <w:rStyle w:val="9"/>
        <w:rFonts w:hint="eastAsia" w:ascii="仿宋_GB2312" w:eastAsia="仿宋_GB2312"/>
        <w:sz w:val="28"/>
        <w:szCs w:val="28"/>
      </w:rPr>
      <w:fldChar w:fldCharType="begin"/>
    </w:r>
    <w:r>
      <w:rPr>
        <w:rStyle w:val="9"/>
        <w:rFonts w:hint="eastAsia" w:ascii="仿宋_GB2312" w:eastAsia="仿宋_GB2312"/>
        <w:sz w:val="28"/>
        <w:szCs w:val="28"/>
      </w:rPr>
      <w:instrText xml:space="preserve">PAGE  </w:instrText>
    </w:r>
    <w:r>
      <w:rPr>
        <w:rStyle w:val="9"/>
        <w:rFonts w:hint="eastAsia" w:ascii="仿宋_GB2312" w:eastAsia="仿宋_GB2312"/>
        <w:sz w:val="28"/>
        <w:szCs w:val="28"/>
      </w:rPr>
      <w:fldChar w:fldCharType="separate"/>
    </w:r>
    <w:r>
      <w:rPr>
        <w:rStyle w:val="9"/>
        <w:rFonts w:ascii="仿宋_GB2312" w:eastAsia="仿宋_GB2312"/>
        <w:sz w:val="28"/>
        <w:szCs w:val="28"/>
      </w:rPr>
      <w:t>- 6 -</w:t>
    </w:r>
    <w:r>
      <w:rPr>
        <w:rStyle w:val="9"/>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46FF"/>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44E"/>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2F05"/>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347C"/>
    <w:rsid w:val="001B50BF"/>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2F8"/>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869F6"/>
    <w:rsid w:val="00286B63"/>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28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3D50"/>
    <w:rsid w:val="002D4279"/>
    <w:rsid w:val="002D5CB2"/>
    <w:rsid w:val="002D6237"/>
    <w:rsid w:val="002D68AE"/>
    <w:rsid w:val="002D7039"/>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07CD"/>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4E33"/>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BAD"/>
    <w:rsid w:val="00365ECC"/>
    <w:rsid w:val="00366579"/>
    <w:rsid w:val="00366CD0"/>
    <w:rsid w:val="00366FF2"/>
    <w:rsid w:val="003672D3"/>
    <w:rsid w:val="003708B7"/>
    <w:rsid w:val="00370A42"/>
    <w:rsid w:val="00372334"/>
    <w:rsid w:val="00372763"/>
    <w:rsid w:val="00373421"/>
    <w:rsid w:val="0037382D"/>
    <w:rsid w:val="00373E61"/>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2940"/>
    <w:rsid w:val="003F3D18"/>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1FD4"/>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6877"/>
    <w:rsid w:val="0044790A"/>
    <w:rsid w:val="00447E10"/>
    <w:rsid w:val="00450904"/>
    <w:rsid w:val="00450BCE"/>
    <w:rsid w:val="00450CD2"/>
    <w:rsid w:val="00452F95"/>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AE3"/>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357"/>
    <w:rsid w:val="005654D5"/>
    <w:rsid w:val="00566105"/>
    <w:rsid w:val="0057166F"/>
    <w:rsid w:val="00571778"/>
    <w:rsid w:val="00572225"/>
    <w:rsid w:val="00572514"/>
    <w:rsid w:val="0057364B"/>
    <w:rsid w:val="0057365D"/>
    <w:rsid w:val="00573A08"/>
    <w:rsid w:val="005744C4"/>
    <w:rsid w:val="00575443"/>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1647"/>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4FDE"/>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4E4"/>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072"/>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035"/>
    <w:rsid w:val="00696CE8"/>
    <w:rsid w:val="006973AC"/>
    <w:rsid w:val="006A03C4"/>
    <w:rsid w:val="006A1F3B"/>
    <w:rsid w:val="006A2F5D"/>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C9E"/>
    <w:rsid w:val="006D66E2"/>
    <w:rsid w:val="006D6B6E"/>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82A"/>
    <w:rsid w:val="00796F90"/>
    <w:rsid w:val="007A0DEA"/>
    <w:rsid w:val="007A1DD3"/>
    <w:rsid w:val="007A295B"/>
    <w:rsid w:val="007A2AD2"/>
    <w:rsid w:val="007A4B51"/>
    <w:rsid w:val="007A50C9"/>
    <w:rsid w:val="007A52E0"/>
    <w:rsid w:val="007A5E15"/>
    <w:rsid w:val="007A6035"/>
    <w:rsid w:val="007A612A"/>
    <w:rsid w:val="007A617B"/>
    <w:rsid w:val="007A7568"/>
    <w:rsid w:val="007A7F86"/>
    <w:rsid w:val="007B1467"/>
    <w:rsid w:val="007B146D"/>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0D72"/>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16E"/>
    <w:rsid w:val="00813C80"/>
    <w:rsid w:val="008143DF"/>
    <w:rsid w:val="00817150"/>
    <w:rsid w:val="00817A2E"/>
    <w:rsid w:val="00820BC2"/>
    <w:rsid w:val="00820D27"/>
    <w:rsid w:val="0082133C"/>
    <w:rsid w:val="00822304"/>
    <w:rsid w:val="00822A5F"/>
    <w:rsid w:val="00822A66"/>
    <w:rsid w:val="00822B6D"/>
    <w:rsid w:val="0082338B"/>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C6D"/>
    <w:rsid w:val="008F2D56"/>
    <w:rsid w:val="008F4043"/>
    <w:rsid w:val="008F435C"/>
    <w:rsid w:val="008F5543"/>
    <w:rsid w:val="008F6439"/>
    <w:rsid w:val="008F7143"/>
    <w:rsid w:val="008F74C1"/>
    <w:rsid w:val="008F7EE1"/>
    <w:rsid w:val="009001BA"/>
    <w:rsid w:val="00900D50"/>
    <w:rsid w:val="00900F5A"/>
    <w:rsid w:val="009018F0"/>
    <w:rsid w:val="0090206E"/>
    <w:rsid w:val="009041DC"/>
    <w:rsid w:val="00905EE3"/>
    <w:rsid w:val="00905EE9"/>
    <w:rsid w:val="00907A2A"/>
    <w:rsid w:val="00907F1D"/>
    <w:rsid w:val="00907F4B"/>
    <w:rsid w:val="0091031E"/>
    <w:rsid w:val="00910627"/>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8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2E46"/>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AE3"/>
    <w:rsid w:val="009B7EA0"/>
    <w:rsid w:val="009C0733"/>
    <w:rsid w:val="009C0785"/>
    <w:rsid w:val="009C0FFF"/>
    <w:rsid w:val="009C140A"/>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450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79F"/>
    <w:rsid w:val="00A86A73"/>
    <w:rsid w:val="00A871A7"/>
    <w:rsid w:val="00A900CB"/>
    <w:rsid w:val="00A90328"/>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2F59"/>
    <w:rsid w:val="00AD30DB"/>
    <w:rsid w:val="00AD3832"/>
    <w:rsid w:val="00AD3AD9"/>
    <w:rsid w:val="00AD3C82"/>
    <w:rsid w:val="00AD41FC"/>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02A"/>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3D15"/>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1BFD"/>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593"/>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619D"/>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1FDD"/>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1ED6"/>
    <w:rsid w:val="00C72C25"/>
    <w:rsid w:val="00C7497E"/>
    <w:rsid w:val="00C757DF"/>
    <w:rsid w:val="00C76421"/>
    <w:rsid w:val="00C7697A"/>
    <w:rsid w:val="00C81427"/>
    <w:rsid w:val="00C81DA9"/>
    <w:rsid w:val="00C826C5"/>
    <w:rsid w:val="00C851B8"/>
    <w:rsid w:val="00C85D18"/>
    <w:rsid w:val="00C86268"/>
    <w:rsid w:val="00C867D8"/>
    <w:rsid w:val="00C868F9"/>
    <w:rsid w:val="00C87B56"/>
    <w:rsid w:val="00C90C99"/>
    <w:rsid w:val="00C90FFC"/>
    <w:rsid w:val="00C92DA3"/>
    <w:rsid w:val="00C935FC"/>
    <w:rsid w:val="00C9384F"/>
    <w:rsid w:val="00C95299"/>
    <w:rsid w:val="00C96440"/>
    <w:rsid w:val="00CA1308"/>
    <w:rsid w:val="00CA2424"/>
    <w:rsid w:val="00CA2891"/>
    <w:rsid w:val="00CA2B05"/>
    <w:rsid w:val="00CA4664"/>
    <w:rsid w:val="00CA4E0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2FE"/>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6931"/>
    <w:rsid w:val="00D70790"/>
    <w:rsid w:val="00D70D35"/>
    <w:rsid w:val="00D711C3"/>
    <w:rsid w:val="00D711F0"/>
    <w:rsid w:val="00D722EF"/>
    <w:rsid w:val="00D74F8A"/>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442C"/>
    <w:rsid w:val="00DB5953"/>
    <w:rsid w:val="00DB5A2C"/>
    <w:rsid w:val="00DB77D2"/>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4FC"/>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E8A"/>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37F72"/>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66698"/>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27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96CE8"/>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58B"/>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568"/>
    <w:rsid w:val="00EF61EF"/>
    <w:rsid w:val="00F00424"/>
    <w:rsid w:val="00F00482"/>
    <w:rsid w:val="00F009AA"/>
    <w:rsid w:val="00F00BC9"/>
    <w:rsid w:val="00F01263"/>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BD5"/>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4E2"/>
    <w:rsid w:val="00F7264E"/>
    <w:rsid w:val="00F72843"/>
    <w:rsid w:val="00F72DA1"/>
    <w:rsid w:val="00F73531"/>
    <w:rsid w:val="00F750B9"/>
    <w:rsid w:val="00F7554F"/>
    <w:rsid w:val="00F75C38"/>
    <w:rsid w:val="00F75E2D"/>
    <w:rsid w:val="00F77088"/>
    <w:rsid w:val="00F77C36"/>
    <w:rsid w:val="00F77D10"/>
    <w:rsid w:val="00F800B6"/>
    <w:rsid w:val="00F80296"/>
    <w:rsid w:val="00F81DFF"/>
    <w:rsid w:val="00F8299B"/>
    <w:rsid w:val="00F84D22"/>
    <w:rsid w:val="00F85AF6"/>
    <w:rsid w:val="00F860BF"/>
    <w:rsid w:val="00F87524"/>
    <w:rsid w:val="00F90EDD"/>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514F"/>
    <w:rsid w:val="00FA601F"/>
    <w:rsid w:val="00FA6B4B"/>
    <w:rsid w:val="00FA71C3"/>
    <w:rsid w:val="00FB0335"/>
    <w:rsid w:val="00FB0AFE"/>
    <w:rsid w:val="00FB1500"/>
    <w:rsid w:val="00FB44FB"/>
    <w:rsid w:val="00FB55FB"/>
    <w:rsid w:val="00FB797F"/>
    <w:rsid w:val="00FB7D38"/>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897"/>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 w:val="4A226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line="360" w:lineRule="auto"/>
      <w:outlineLvl w:val="0"/>
    </w:pPr>
    <w:rPr>
      <w:rFonts w:ascii="仿宋_GB2312" w:eastAsia="仿宋_GB2312"/>
      <w:bCs/>
      <w:snapToGrid w:val="0"/>
      <w:kern w:val="0"/>
      <w:szCs w:val="21"/>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0"/>
    <w:pPr>
      <w:ind w:firstLine="200" w:firstLineChars="200"/>
      <w:jc w:val="left"/>
      <w:outlineLvl w:val="2"/>
    </w:pPr>
    <w:rPr>
      <w:rFonts w:ascii="Cambria" w:hAnsi="Cambria" w:eastAsia="黑体"/>
      <w:bCs/>
      <w:kern w:val="28"/>
      <w:sz w:val="28"/>
      <w:szCs w:val="32"/>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uiPriority w:val="0"/>
  </w:style>
  <w:style w:type="character" w:customStyle="1" w:styleId="10">
    <w:name w:val="标题 1 字符"/>
    <w:basedOn w:val="8"/>
    <w:link w:val="2"/>
    <w:uiPriority w:val="0"/>
    <w:rPr>
      <w:rFonts w:ascii="仿宋_GB2312" w:hAnsi="Times New Roman" w:eastAsia="仿宋_GB2312" w:cs="Times New Roman"/>
      <w:bCs/>
      <w:snapToGrid w:val="0"/>
      <w:kern w:val="0"/>
      <w:szCs w:val="21"/>
    </w:rPr>
  </w:style>
  <w:style w:type="character" w:customStyle="1" w:styleId="11">
    <w:name w:val="页脚 字符"/>
    <w:basedOn w:val="8"/>
    <w:link w:val="3"/>
    <w:uiPriority w:val="99"/>
    <w:rPr>
      <w:rFonts w:ascii="Times New Roman" w:hAnsi="Times New Roman" w:eastAsia="宋体" w:cs="Times New Roman"/>
      <w:sz w:val="18"/>
      <w:szCs w:val="18"/>
    </w:rPr>
  </w:style>
  <w:style w:type="character" w:customStyle="1" w:styleId="12">
    <w:name w:val="副标题 字符"/>
    <w:basedOn w:val="8"/>
    <w:link w:val="5"/>
    <w:uiPriority w:val="0"/>
    <w:rPr>
      <w:rFonts w:ascii="Cambria" w:hAnsi="Cambria" w:eastAsia="黑体" w:cs="Times New Roman"/>
      <w:bCs/>
      <w:kern w:val="28"/>
      <w:sz w:val="28"/>
      <w:szCs w:val="32"/>
    </w:rPr>
  </w:style>
  <w:style w:type="character" w:customStyle="1" w:styleId="13">
    <w:name w:val="页眉 字符"/>
    <w:basedOn w:val="8"/>
    <w:link w:val="4"/>
    <w:uiPriority w:val="99"/>
    <w:rPr>
      <w:rFonts w:ascii="Times New Roman" w:hAnsi="Times New Roman" w:eastAsia="宋体" w:cs="Times New Roman"/>
      <w:sz w:val="18"/>
      <w:szCs w:val="18"/>
    </w:rPr>
  </w:style>
  <w:style w:type="paragraph" w:styleId="1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5">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7</Pages>
  <Words>566</Words>
  <Characters>3232</Characters>
  <Lines>26</Lines>
  <Paragraphs>7</Paragraphs>
  <TotalTime>461</TotalTime>
  <ScaleCrop>false</ScaleCrop>
  <LinksUpToDate>false</LinksUpToDate>
  <CharactersWithSpaces>3791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2023-11-22T13:13:00Z</cp:lastPrinted>
  <dcterms:modified xsi:type="dcterms:W3CDTF">2024-04-22T02:31:05Z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1E35C96D81674CC6B5630B1601487D93</vt:lpwstr>
  </property>
</Properties>
</file>